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A75" w:rsidRPr="008E3A75" w:rsidRDefault="008E3A75" w:rsidP="008E3A75">
      <w:pPr>
        <w:pStyle w:val="ConsPlusNormal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E3A75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8E3A75" w:rsidRDefault="008E3A75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</w:t>
      </w:r>
      <w:r w:rsidR="00D66960">
        <w:rPr>
          <w:rFonts w:ascii="Times New Roman" w:hAnsi="Times New Roman" w:cs="Times New Roman"/>
          <w:sz w:val="24"/>
          <w:szCs w:val="24"/>
        </w:rPr>
        <w:t>4</w:t>
      </w:r>
      <w:r w:rsidRPr="00C30508">
        <w:rPr>
          <w:rFonts w:ascii="Times New Roman" w:hAnsi="Times New Roman" w:cs="Times New Roman"/>
          <w:sz w:val="24"/>
          <w:szCs w:val="24"/>
        </w:rPr>
        <w:t>.1.2. М</w:t>
      </w:r>
      <w:r w:rsidR="00571B67" w:rsidRPr="00C30508">
        <w:rPr>
          <w:rFonts w:ascii="Times New Roman" w:hAnsi="Times New Roman" w:cs="Times New Roman"/>
          <w:sz w:val="24"/>
          <w:szCs w:val="24"/>
        </w:rPr>
        <w:t>ЕТОДИКА РАСПРЕДЕЛЕНИЯ ДОТАЦИЙ</w:t>
      </w:r>
    </w:p>
    <w:p w:rsidR="00C93F36" w:rsidRPr="00C30508" w:rsidRDefault="00571B67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НА</w:t>
      </w:r>
      <w:r w:rsidR="00C93F36" w:rsidRPr="00C30508">
        <w:rPr>
          <w:rFonts w:ascii="Times New Roman" w:hAnsi="Times New Roman" w:cs="Times New Roman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sz w:val="24"/>
          <w:szCs w:val="24"/>
        </w:rPr>
        <w:t>ВЫРАВНИВАНИЕ БЮДЖЕТНОЙ ОБЕСПЕЧЕННОСТИ</w:t>
      </w:r>
    </w:p>
    <w:p w:rsidR="00C93F36" w:rsidRPr="00C30508" w:rsidRDefault="006B079A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Методика распределения дотаций на выравнивание бюджетной обеспеченности муниципальных районов (городских округов) (далее - Методика) включает следующие этапы: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расчет уровня бюджетной обеспеченности муниципальных районов (городских округов);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распределение дотаций на выравнивание уровня бюджетной обеспеченности муниципальных районов (городских округов).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I. Основные понятия и определения, используемые в Методике: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уровень бюджетной обеспеченности муниципального района (городского округа) - отношение индекса налогового потенциала к индексу бюджетных расходов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индекс налогового потенциала муниципального района (городского округа) - отношение налогового потенциала муниципального района (городского округа) в расчете на одного жителя к аналогичному показателю в среднем по всем муниципальным районам (городским округам);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в) налоговый потенциал муниципального района (городского округа) - оценка доходов, которые могут быть получены бюджетом муниципального района (городского округа) исходя из уровня развития и структуры экономики и (или) налоговой базы из налоговых источников, закрепленных в репрезентативной системе налогов;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г) индекс бюджетных расходов муниципального района (городского округа) показывает насколько больше (меньше) средств бюджета муниципального района (городского округа) в расчете на одного жителя по сравнению со средним по всем муниципальным районам (городским округам) уровнем необходимо затратить для решения вопросов местного значения муниципального района (городского округа), с учетом специфики социально-демографического состава обслуживаемого населения и иных объективных факторов, влияющих на стоимость предоставляемых бюджетных услуг.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II. Расчет уровня бюджетной обеспеченности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Уровень бюджетной обеспеченности муниципального района (городского округа) на очередной финансовый год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104900" cy="4191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76225" cy="200025"/>
            <wp:effectExtent l="0" t="0" r="9525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уровень бюджетной обеспеченности j-того муниципального района (городского округа)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00025"/>
            <wp:effectExtent l="0" t="0" r="952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налогового потенциала j-того муниципального района (городского округа) в очередном финансовом году;</w:t>
      </w:r>
    </w:p>
    <w:p w:rsidR="00C93F36" w:rsidRDefault="00ED027E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pict>
          <v:shape id="_x0000_i1028" type="#_x0000_t75" style="width:27.75pt;height:14.25pt;visibility:visible;mso-wrap-style:square">
            <v:imagedata r:id="rId10" o:title=""/>
          </v:shape>
        </w:pict>
      </w:r>
      <w:r w:rsidR="00C93F36"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бюджетных расходов j-того муниципального района (городского округа) в очередном финансовом году.</w:t>
      </w: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1. Расчет индекса налогового потенциала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Индекс налогового потенциала муниципального района (городского округа) в очередном финансовом году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54"/>
          <w:sz w:val="24"/>
          <w:szCs w:val="24"/>
          <w:lang w:eastAsia="ru-RU"/>
        </w:rPr>
        <w:drawing>
          <wp:inline distT="0" distB="0" distL="0" distR="0">
            <wp:extent cx="1143000" cy="790575"/>
            <wp:effectExtent l="0" t="0" r="0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00025"/>
            <wp:effectExtent l="0" t="0" r="9525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налогового потенциала j-того муниципального района (городского округа)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j-того муниципального района (городского округа) по данным статистической отчетности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66700" cy="161925"/>
            <wp:effectExtent l="0" t="0" r="0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налоговый потенциал всех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52400" cy="161925"/>
            <wp:effectExtent l="0" t="0" r="0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Камчатского края по данным статистической отчетности по состоянию на начало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Расчет налогового потенциала муниципального района (городского округа)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(городского округа), прогноза поступлений данного налога с территории всех муниципальных районов (городских округов) в консолидированный бюджет Камчатского края (по данным Минист</w:t>
      </w:r>
      <w:r w:rsidR="00AE596D">
        <w:rPr>
          <w:rFonts w:ascii="Times New Roman" w:hAnsi="Times New Roman" w:cs="Times New Roman"/>
          <w:b w:val="0"/>
          <w:sz w:val="24"/>
          <w:szCs w:val="24"/>
        </w:rPr>
        <w:t xml:space="preserve">ерства экономического развития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t>и торговли Камчатского края), а также норматива отчислений от данного налога в бюджеты муниципальных районов (городских округов).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Репрезентативная система налогов включает основные налоги, зачисляемые в бюджеты муниципальных районов (городских округов) и отражает доходные возможности, которые учитываются при распределении финансовых средств в рамках межбюджетного регулирования.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 состав репрезентативной системы налогов включены следующие виды налогов: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налог на доходы физических лиц;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единый налог на вмененный доход для отдельных видов деятельности;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налог на прибыль.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Налоговый потенциал муниципального района (городского округа) по отдельному налогу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905000" cy="428625"/>
            <wp:effectExtent l="0" t="0" r="0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42900" cy="200025"/>
            <wp:effectExtent l="0" t="0" r="0" b="952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по i-тому налогу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прогноз поступлений i-того налога в консолидированный бюджет Камчатского края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38125" cy="18097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единый норматив отчислений в бюджеты муниципальных районов (городских округов) от i-того налога в соответствии с бюджетным законодательством;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333375" cy="200025"/>
            <wp:effectExtent l="0" t="0" r="9525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базу налогообложения j-того муниципального района (городского округа) по i-тому налогу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04800" cy="180975"/>
            <wp:effectExtent l="0" t="0" r="0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экономический показатель, отражающий базу налогообложения муниципальных районов (городских округов) по i-тому налогу в очередном финансовом году.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2. Расчет частных экономических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показателей, отражающих базу налогообложения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по налогам, включенным в репрезентативную систему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1. Экономический показатель, отражающий базу налогообложения муниципального района (городского округа) по налогу на доходы физических лиц на очередной финансовый год (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733425" cy="219075"/>
            <wp:effectExtent l="0" t="0" r="9525" b="952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E6C" w:rsidRPr="00C30508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определяется по следующей формуле: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47825" cy="390525"/>
            <wp:effectExtent l="0" t="0" r="9525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23875" cy="219075"/>
            <wp:effectExtent l="0" t="0" r="9525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рассчитанного фонда оплаты труда в j-том муниципальном районе (городском округе)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71475" cy="18097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объем рассчитанного фонда оплаты труда во всех муниципальных районах (городских округах)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2. Экономический показатель, отражающий базу налогообложения муниципального района (городского округа) по единому налогу на вмененный доход для отдельных видов деятельности на очередной финансовый год, определяется по следующей формуле: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590800" cy="41910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ожидаемые поступления в текущем финансовом году единого налога на вмененный доход для отдельных видов деятельности по j-тому муниципальному району (городскому округу) (по оценке Минист</w:t>
      </w:r>
      <w:r w:rsidR="00594C9B">
        <w:rPr>
          <w:rFonts w:ascii="Times New Roman" w:hAnsi="Times New Roman" w:cs="Times New Roman"/>
          <w:b w:val="0"/>
          <w:sz w:val="24"/>
          <w:szCs w:val="24"/>
        </w:rPr>
        <w:t xml:space="preserve">ерства экономического развития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t>и торговли Камчатского края);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057275" cy="200025"/>
            <wp:effectExtent l="0" t="0" r="9525" b="952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изменения базовой доходности согласно федеральному законодательству (при отсутствии данных на очередной финансовый год применяются данные текущего финансового года);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38125" cy="180975"/>
            <wp:effectExtent l="0" t="0" r="9525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ожидаемые поступления в текущем финансовом году единого налога на вмененный доход для отдельных видов деятельности по всем муниципальным районам (городским округам) (по оценке Министерства экономического развития и торговли Камчатского края).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3. Для расчета экономического показателя, отражающего базу налогообложения муниципального района (городского округа) по налогу на прибыль организаций на очередной финансовый год, применяется экспоненциальное усреднение экономических показателей,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отражающих базу налогообложения по налогу на прибыль организаций за отчетные периоды (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71500" cy="200025"/>
            <wp:effectExtent l="0" t="0" r="0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Экономический показатель, отражающий базу налогообложения муниципального района (городского округа) по налогу на прибыль организаций на очередной финансовый год, определяется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057775" cy="1714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23925" cy="219075"/>
            <wp:effectExtent l="0" t="0" r="9525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800100" cy="21907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период текущего финансового года, приведенный к годовым показателям;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23925" cy="219075"/>
            <wp:effectExtent l="0" t="0" r="9525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отчетный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62025" cy="219075"/>
            <wp:effectExtent l="0" t="0" r="9525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год, предшествующий отчетному финансовому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52500" cy="219075"/>
            <wp:effectExtent l="0" t="0" r="0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год, предыдущий году, предшествующему отчетному финансовому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0,4; 0,3; 0,2; 0,1 - условная доля налога на прибыль в соответствующем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Экономические показатели, отражающие динамику налогообложения муниципального района (городского округа) по налогу на прибыль организаций за отчетные периоды (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762000" cy="219075"/>
            <wp:effectExtent l="0" t="0" r="0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) определяются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838325" cy="41910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676275" cy="219075"/>
            <wp:effectExtent l="0" t="0" r="9525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фактические поступления налога на прибыль организаций в местный бюджет с территории j-того муниципального района (городского округа) за соответствующий i-тый период, приведенные в условия очередного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619125" cy="21907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 фактических поступлений налога на прибыль организаций в местный бюджет с территории всех муниципальных районов (городских округов) за соответствующий i-тый период, приведенных в условия очередного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314325" cy="1619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период текущего финансового года,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61975" cy="219075"/>
            <wp:effectExtent l="0" t="0" r="9525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отчетный финансовый год,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81025" cy="219075"/>
            <wp:effectExtent l="0" t="0" r="9525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год, предшествующий отчетному финансовому году,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71500" cy="21907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год, предыдущий году, предшествующему отчетному финансовому году.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4. Расчет на плановый период экономических показателей, отражающих базу налогообложения по налогам, включенным в репрезентативную систему, осуществляется на основе показателей, применяемых для расчета указанных экономических показателей на очередной финансовый год.</w:t>
      </w: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lastRenderedPageBreak/>
        <w:t>3. Расчет налогового потенциала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Налоговый потенциал муниципального района (городского округа) на очередной финансовый год рассчитывается по следующей формуле:</w:t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Default="00C93F36" w:rsidP="00C30508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47775" cy="257175"/>
            <wp:effectExtent l="0" t="0" r="0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08" w:rsidRPr="00C30508" w:rsidRDefault="00C30508" w:rsidP="00C30508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0002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по i-тому налогу на очередной финансовый год.</w:t>
      </w:r>
    </w:p>
    <w:p w:rsidR="00C93F36" w:rsidRDefault="00C93F36" w:rsidP="00C30508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Суммирование производится по всем налогам, входящим в репрезентативную систему налогов. Рассчитанные оценки налогового потенциала не являются планируемыми или рекомендуемыми показателями доходов бюджетов муниципальных районов (городских округов) и используются только для расчета индекса налогового потенциала и сопоставления уровня бюджетной обеспеченности в целях межбюджетного регулирования.</w:t>
      </w: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4. Расчет индекса бюджетных расходов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расчета нормативов расходных обязательств в целях определения поправочных коэффициентов расходных потребностей бюджетов муниципальных районов (городских округов) с учетом расходных потребностей поселений, отражающих относительные различия в указанных расходных потребностях, используется репрезентативная система расходов, которая включает перечень основных видов расходов муниципальных районов (городских округов), связанных с решением вопросов местного значения. В состав репрезентативного перечня расходов входят расходы, связанные с решением следующих вопросов местного значения муниципальных районов (городских округов):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расходы на функционирование органов местного самоуправления;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дорожная деятельность в отношении автомобильных дорог местного значения в границах населенных пунктов поселения (городского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(городского округа),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участие в организации деятельности по сбору (в том числе раздельному сбору) и транспортированию твердых коммунальных отходов на территории поселения,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организация благоустройства территории поселения (городского округа)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природных территорий, расположенных в границах населенных пунктов поселения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организация ритуальных услуг и содержание мест захоронения, содержание на территории муниципального района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межпоселенческих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мест захоронения;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3) создание условий для предоставления транспортных услуг населению и организация транспортного обслуживания населения в границах поселения (городского округа), между поселениями в границах муниципального района;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5) организация библиотечного обслуживания населения, комплектование и обеспечение сохранности библиотечных фондов библиотек поселения (городского округа), организация библиотечного обслуживания населения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межпоселенческими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библиотеками, комплектование и обеспечение сохранности их библиотечных фондов;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6) обеспечение условий для развития на территории поселения (городского округа)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7) организация и осуществление мероприятий по работе с детьми и молодежью в поселении (городском округе), организация и осуществление мероприятий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межпоселенческого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характера по работе с детьми и молодежью.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 целях обеспечения расчетов для муниципальных районов в состав репрезентативной системы расходов включаются расходы, относящиеся к решению вопросов местного значения поселений.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Репрезентативный перечень расходов с указанием категорий потребителей бюджетных услуг, показателей для расчета корректирующих коэффициентов бюджетных расходов, применяемых коэффициентов удорожания представлен в нижеприведенной таблице. Расчетный удельн</w:t>
      </w:r>
      <w:bookmarkStart w:id="0" w:name="_GoBack"/>
      <w:bookmarkEnd w:id="0"/>
      <w:r w:rsidRPr="00C30508">
        <w:rPr>
          <w:rFonts w:ascii="Times New Roman" w:hAnsi="Times New Roman" w:cs="Times New Roman"/>
          <w:b w:val="0"/>
          <w:sz w:val="24"/>
          <w:szCs w:val="24"/>
        </w:rPr>
        <w:t>ый вес i-того вида расходов в среднем по Камчатскому краю в общем объеме расходов, входящих в репрезентативный перечень, устанавливается в законе Камчатского края о краевом бюджете.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  <w:sectPr w:rsidR="00C93F36" w:rsidRPr="00C30508" w:rsidSect="00ED027E">
          <w:footerReference w:type="default" r:id="rId49"/>
          <w:pgSz w:w="11905" w:h="16840"/>
          <w:pgMar w:top="1134" w:right="567" w:bottom="993" w:left="1701" w:header="0" w:footer="0" w:gutter="0"/>
          <w:cols w:space="720"/>
          <w:noEndnote/>
        </w:sect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"/>
        <w:gridCol w:w="3503"/>
        <w:gridCol w:w="1455"/>
        <w:gridCol w:w="2797"/>
        <w:gridCol w:w="1559"/>
      </w:tblGrid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30508" w:rsidRPr="00C30508" w:rsidRDefault="00C30508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1" w:name="Par132"/>
            <w:bookmarkEnd w:id="1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Перечень расходов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Категория потребителей бюджетных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Показатели для расчета промежуточных корректирующих коэффициентов бюджетных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Применяемый коэффициент удорожания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функционирование органов местного самоуправления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МФ РФ, скорректированная на стоимость проезда до краевого центра)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Расходы на дорожную деятельность в отношении автомобильных дорог местного значения в границах населенных пунктов поселения (городского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(городского округа), дорожную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деятельности в соответствии с законодательством Российской Федерации; на участие в организации деятельности по сбору (в том числе раздельному сбору) и транспортированию твердых коммунальных отходов на территории поселения,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 (городского округа); на организацию благоустройства территории поселения (городского округа)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(городского округа); на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округа, 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 на организацию ритуальных услуг и содержание мест захоронения, содержание на территории муниципального района </w:t>
            </w:r>
            <w:proofErr w:type="spellStart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межпоселенческих</w:t>
            </w:r>
            <w:proofErr w:type="spellEnd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мест захоронения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стоимости ЖКУ, коэффициент расходных потребностей, рассчитанный на основе нормативов расходных обязательств</w:t>
            </w:r>
          </w:p>
        </w:tc>
      </w:tr>
      <w:tr w:rsidR="00C93F36" w:rsidRPr="00C30508" w:rsidTr="00C30508"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создание условий для предоставления транспортных услуг населению и организацию транспортного обслуживания населения в границах поселения (городского округа), между поселениями в границах муниципального района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Расходы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Обучающиеся общеобразовательных организаций, воспитанники дошкольных образовательных организаций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стоимости ЖКУ, 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93F36" w:rsidRPr="00C30508" w:rsidTr="00C30508"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Расходы на организацию библиотечного обслуживания населения, комплектование и обеспечение сохранности библиотечных фондов библиотек поселений (городских округов), организацию библиотечного обслуживания населения </w:t>
            </w:r>
            <w:proofErr w:type="spellStart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межпоселенческими</w:t>
            </w:r>
            <w:proofErr w:type="spellEnd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численность постоянного населения 5-29 лет, численность населения</w:t>
            </w:r>
            <w:r w:rsidR="005F0058"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,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МФ РФ, скорректированная на стоимость проезда до краевого центра)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заработной платы, коэффициент расходных потребностей, рассчитанный на основе нормативов расходных обязательств, коэффициент возрастной структуры населения (поправочный на численность населения 5-29 лет)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обеспечение условий для развития на территории поселения (городского округа) физической культуры, школьного спорта и массового спорта, организацию проведения официальных физкультурно-оздоровительных и спортивных мероприятий поселения (городского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численность населения</w:t>
            </w:r>
            <w:r w:rsidR="005F0058"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,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МФ РФ скорректированная на стоимость проезда до краевого центра)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93F36" w:rsidRPr="00C30508" w:rsidTr="00C30508"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Расходы на организацию и осуществление мероприятий по работе с детьми и молодежью в поселении (городском округе), организацию и осуществление 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мероприятий </w:t>
            </w:r>
            <w:proofErr w:type="spellStart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межпоселенческого</w:t>
            </w:r>
            <w:proofErr w:type="spellEnd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характера по работе с детьми и молодежью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Население 5-29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Коэффициент расходных потребностей, рассчитанный на основе 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нормативов расходных обязательств</w:t>
            </w:r>
          </w:p>
        </w:tc>
      </w:tr>
    </w:tbl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Примечание: численность обучающихся общеобразовательных организаций, численность воспитанников дошкольных образовательных организаций - по данным Министерства образования и науки Камчатского края, численность остальных категорий потребителей бюджетных услуг - по данным территориального органа Федеральной службы государственной статистики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Индекс бюджетных расходов (далее - ИБР) показывает, насколько больше (меньше) необходимо затратить бюджетных средств (в расчете на душу населения) в данном муниципальном районе (городском округе), с учетом объективных региональных факторов и условий, по сравнению со средним по Камчатскому краю уровнем для предоставления одного и того же объема бюджетных услуг.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ИБР используется для сопоставления уровня расчетной бюджетной обеспеченности муниципальных районов (городских округов) в рамках настоящей Методики и не является прогнозируемой (планируемой, рекомендуемой) оценкой расходов муниципальных районов (городских округов) в расчете на душу населения или в абсолютном размере.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ИБР для конкретного муниципального района (городского округа) на очередной финансовый год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685925" cy="257175"/>
            <wp:effectExtent l="0" t="0" r="9525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0002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бюджетных расходов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00025"/>
            <wp:effectExtent l="0" t="0" r="9525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бюджетных расходов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по i-тому виду расходов, входящему в состав репрезентативной системы расходов,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расчетный удельный вес i-того вида бюджетных расходов, входящего в состав репрезентативной системы расходов, в очередном финансовом году. Рассчитывается как отношение суммы расходов i-того вида по всем муниципальным образованиям к общему объему расходов муниципальных образований, входящих в репрезентативный перечень, и применяется с целью определения индекса бюджетных расходов j-того муниципального образования с учетом доли i-того вида расходов.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54"/>
          <w:sz w:val="24"/>
          <w:szCs w:val="24"/>
          <w:lang w:eastAsia="ru-RU"/>
        </w:rPr>
        <w:drawing>
          <wp:inline distT="0" distB="0" distL="0" distR="0">
            <wp:extent cx="1143000" cy="76200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скорректированная численность потребителей бюджетных услуг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по i-тому виду расходов, входящему в состав репрезентативной системы расходов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28600" cy="1619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суммарная скорректированная численность потребителей бюджетных услуг всех муниципальных районов (городских округов) по i-тому виду расходов, входящему в состав репрезентативной системы расходов,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52400" cy="161925"/>
            <wp:effectExtent l="0" t="0" r="0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Камчатского края по состоянию на начало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Для оценки относительных различий в расходных потребностях численность потребителей бюджетных услуг каждого муниципального района (городского округа) по видам расходов репрезентативной системы расходов корректируется на коэффициенты, отражающие социально-экономические, географические и иные объективные факторы, влияющие на стоимость предоставления одного и того же объема бюджетных услуг в расчете на одного жителя.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Численность потребителей бюджетных услуг в расчетах применяется отдельно для городских округов и городских и сельских поселений. Исходя из этого нормативы расходных обязательств подразделяются на нормативы: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 одного городского жителя (для городских округов);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 одного сельского жителя (для городских, сельских поселений).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Расчет скорректированной численности потребителей бюджетных услуг муниципальных районов (городских округов) на очередной финансовый год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95525" cy="200025"/>
            <wp:effectExtent l="0" t="0" r="9525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00025"/>
            <wp:effectExtent l="0" t="0" r="0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потребителей бюджетных услуг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по i-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му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виду расходов, входящему в состав репрезентативной системы расходов, согласно вышеприведенной </w:t>
      </w:r>
      <w:hyperlink w:anchor="Par132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таблице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>, по состоянию на начало текущего финансового года.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отчетного финансового года. В случае создания (предполагаемого создания в очередном финансовом году и плановом периоде) новых дошкольных образовательных организаций показатель численности воспитанников дошкольных образовательных организаций корректируется Министерством финансов Камчатского края на основании предложений Министерства образования и науки Камчатского края.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190625" cy="2000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коэффициенты удорожания стоимости предоставления бюджетных услуг в очередном финансовом году, отражающие факторы, влияющие на стоимость предоставляемых бюджетных услуг по i-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му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виду расходов, входящему в состав репрезентативной системы расходов, в расчете на одного жителя в j-м муниципальном районе (городском округе), где </w:t>
      </w:r>
      <w:proofErr w:type="gramStart"/>
      <w:r w:rsidRPr="00C30508">
        <w:rPr>
          <w:rFonts w:ascii="Times New Roman" w:hAnsi="Times New Roman" w:cs="Times New Roman"/>
          <w:b w:val="0"/>
          <w:sz w:val="24"/>
          <w:szCs w:val="24"/>
        </w:rPr>
        <w:t>1,...</w:t>
      </w:r>
      <w:proofErr w:type="gramEnd"/>
      <w:r w:rsidRPr="00C30508">
        <w:rPr>
          <w:rFonts w:ascii="Times New Roman" w:hAnsi="Times New Roman" w:cs="Times New Roman"/>
          <w:b w:val="0"/>
          <w:sz w:val="24"/>
          <w:szCs w:val="24"/>
        </w:rPr>
        <w:t>,n - число коэффициентов удорожания.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Законом Камчатского края о краевом бюджете могут устанавливаться доли влияния того или иного фактора, учитываемого применяемыми коэффициентами удорожания.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 настоящей Методике применяются следующие коэффициенты удорожания: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коэффициент уровня цен: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2324100" cy="63817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средневзвешенный показатель стоимости фиксированного набора товаров и услуг в j-м муниципальном районе (городском округе) по состоянию на 1 октября отчетного финансового года, 1 января и 1 апреля текущего финансового года (по данным Министерства социального развития и труда Камчатского края).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Для муниципальных районов (городских округов), у которых основным видом топлива для выработки коммунальных услуг является природный газ,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увеличивается в 1,5 раза;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161925" cy="2000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средневзвешенный показатель стоимости фиксированного набора товаров и услуг в среднем по муниципальным районам (городским округам) по состоянию на 1 октября отчетного финансового года, 1 января и 1 апреля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95300" cy="22860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плотности транспортных путей и отдаленности от г. Петропавловска-Камчатского;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доля населения моложе трудоспособного возраста и старше трудоспособного возраста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в численности постоянного населения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на начало отчетного или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61925" cy="16192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доля населения моложе трудоспособного возраста и старше трудоспособного возраста в численности населения моложе трудоспособного возраста и старше трудоспособного возраста в среднем по Камчатскому краю на начало отчетного или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28600" cy="19050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средневзвешенный с учетом численности постоянного населения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коэффициент уровня цен.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коэффициент плотности транспортных путей и отдаленности от г. Петропавловска-Камчатского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32"/>
          <w:sz w:val="24"/>
          <w:szCs w:val="24"/>
          <w:lang w:eastAsia="ru-RU"/>
        </w:rPr>
        <w:drawing>
          <wp:inline distT="0" distB="0" distL="0" distR="0">
            <wp:extent cx="2247900" cy="4857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1925" cy="20002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плотность транспортных путей постоянного действия автодорог (общего пользования со всеми видами покрытия) в j-м муниципальном районе (городском округе)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плотность транспортных путей постоянного действия в среднем по Камчатскому краю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Для муниципальных районов (городских округов), у которых плотность транспортных путей постоянного действия выше аналогичного показателя в среднем по Камчатскому краю, отношение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1925" cy="200025"/>
            <wp:effectExtent l="0" t="0" r="9525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/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единице.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коэффициент, учитывающий долю численности населения j-того муниципального района (городского округа), административный центр которого отдален от административного центра Камчатского края - города краевого подчинения Петропавловска-Камчатского более чем на 150 километров, в суммарной численности населения, проживающего в указанных муниципальных районах (городских округах).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муниципальных районов (городских округов), административный центр которых отдален от административного центра Камчатского края - города краевого подчинения Петропавловска-Камчатского менее чем на 150 километров, значение коэффициента принимается равным 0.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Усть-Камчатского, Усть-Большерецкого, Соболевского, Мильковского, Быстринского муниципальных районов значение показателя условно увеличивается на 2.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Алеутского муниципального района значение показателя условно увеличивается на 5, как для островной территории.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средний по Камчатскому краю средневзвешенный с учетом численности постоянного населения j-того муниципального района (городского округа) коэффициент уровня цен определяется по формуле:</w:t>
      </w:r>
    </w:p>
    <w:p w:rsidR="00C93F36" w:rsidRPr="00C30508" w:rsidRDefault="00C30508" w:rsidP="00C30508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 wp14:anchorId="0DBEE467" wp14:editId="6F4CF997">
            <wp:extent cx="2552700" cy="638175"/>
            <wp:effectExtent l="0" t="0" r="0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коэффициент заработной платы: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2466975" cy="41910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33375" cy="22860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средневзвешенный (по численности населения соответствующих муниципальных районов (городских округов) районный коэффициент к заработной плате, установленный нормативными правовыми актами Камчатского края;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средневзвешенные (по численности населения соответствующих муниципальных районов (городских округов) территориальные надбавки к заработной плате, установленные нормативными правовыми актами Камчатского края;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81000" cy="200025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условная надбавка по компенсации затрат на проезд к месту использования отпуска для работников бюджетной сферы муниципальных районов (городских округов) в очередном финансовом году (по оценке Минист</w:t>
      </w:r>
      <w:r w:rsidR="00AE596D">
        <w:rPr>
          <w:rFonts w:ascii="Times New Roman" w:hAnsi="Times New Roman" w:cs="Times New Roman"/>
          <w:b w:val="0"/>
          <w:sz w:val="24"/>
          <w:szCs w:val="24"/>
        </w:rPr>
        <w:t xml:space="preserve">ерства экономического развития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t>и торговли Камчатского края);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95275" cy="19050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средневзвешенный с учетом численности постоянного населения j-того муниципального района (городского округа) коэффициент заработной платы.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условная надбавка по компенсации затрат на проезд к месту использования отпуска: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590675" cy="22860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28600"/>
            <wp:effectExtent l="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отдаленности j-того муниципального района (городского округа) с учетом стоимости проезда до краевого центра в очередном финансовом году:</w:t>
      </w:r>
    </w:p>
    <w:p w:rsidR="00C93F36" w:rsidRPr="00C30508" w:rsidRDefault="00C93F36" w:rsidP="00C93F36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476375" cy="2286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33375" cy="2000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отдаленности территории для Дальневосточного экономического района - 2;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42900" cy="2000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поправочный коэффициент, учитывающий отдаленность населенных пунктов j-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(городского округа) от краевого центра.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Поправочный коэффициент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42900" cy="20002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определяется в соответствии со стоимостью проезда от населенных пунктов в среднем по муниципальному району (городскому округу) с учетом стоимости проезда от отдельных населенных пунктов и удельной численности их населения в общей численности населения j-ого муниципального района (городского округа) до аэропорта г. Елизово, усредненной величины стоимости дальнейшего проезда до места проведения отпуска и обратно, удельного веса постоянного населения j-того муниципального района (городского округа) в общей численности населения.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104900" cy="4191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000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средняя стоимость проезда до места проведения отпуска и обратно с учетом проезда до аэропорта г. Елизово по j-тому муниципальному району (городскому округу)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000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средняя стоимость проезда по всем муниципальным районам (городским округам)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Средняя стоимость проезда до места проведения отпуска и обратно с учетом проезда до аэропорта г. Елизово по j-тому муниципальному району (городскому округу)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47825" cy="41910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000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стоимость проезда от соответствующих населенных пунктов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0002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населения в населенном пункте;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коэффициент расселения муниципальных районов (городских округов) определяется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143000" cy="4191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удельный вес населения, проживающего в населенных пунктах с численностью населения до 400 человек, в численности постоянного населения j-того муниципального района (городского округа)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61925" cy="18097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удельный вес населения, проживающего в населенных пунктах с численностью населения до 400 человек, в численности постоянного населения в среднем по муниципальным районам (городским округам) по состоянию на начало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средний по Камчатскому краю средневзвешенный с учетом численности постоянного населения j-того муниципального района (городского округа) коэффициент заработной платы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32"/>
          <w:sz w:val="24"/>
          <w:szCs w:val="24"/>
          <w:lang w:eastAsia="ru-RU"/>
        </w:rPr>
        <w:drawing>
          <wp:inline distT="0" distB="0" distL="0" distR="0">
            <wp:extent cx="2809875" cy="4857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3) коэффициент стоимости жилищно-коммунальных услуг: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295400" cy="6096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предельная стоимость предоставления ЖКУ на 1 кв. м. в месяц по экономически обоснованным тарифам (с НДС, с учетом электроэнергии) в j-том муниципальном районе (городском округе), по данным Министерства жилищно-коммунального хозяйства и энергетики Камчатского края, на основании постановлений глав муниципальных районов (городских округов)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04800" cy="1809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средняя по Камчатскому краю предельная стоимость предоставления ЖКУ на 1 кв. м. в месяц по экономически обоснованным тарифам (с НДС, с учетом электроэнергии), по данным Министерства жилищно-коммунального хозяйства и энергетики Камчатского края,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371475" cy="19050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средневзвешенный с учетом численности постоянного населения j-того муниципального района (городского округа) коэффициент стоимости жилищно-коммунальных услуг.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а) средний по Камчатскому краю средневзвешенный с учетом численности населения j-того муниципального района (городского округа) коэффициент стоимости жилищно-коммунальных услуг: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562100" cy="6096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4) коэффициенты возрастной структуры населения: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населения, которые предъявляют повышенный спрос на соответствующие бюджетные услуги, в соответствии с </w:t>
      </w:r>
      <w:hyperlink w:anchor="Par132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таблицей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настоящего приложения.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56"/>
          <w:sz w:val="24"/>
          <w:szCs w:val="24"/>
          <w:lang w:eastAsia="ru-RU"/>
        </w:rPr>
        <w:drawing>
          <wp:inline distT="0" distB="0" distL="0" distR="0">
            <wp:extent cx="1209675" cy="82867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2860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категорий населения в j-том муниципальном районе (городском округе), предъявляющих повышенный спрос на бюджетные услуги по i-тому виду расходов,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категорий населения, предъявляющих повышенный спрос на бюджетные услуги по i-тому виду расходов,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5) коэффициент расходных потребностей, рассчитанный на основе нормативов расходных обязательств бюджетов муниципальных районов (городских округов) с учетом расходных обязательств бюджетов поселений.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В целях определения насколько больше (меньше) финансовых ресурсов необходимо затратить на предоставление бюджетных услуг одному получателю указанных бюджетных услуг по i-тому виду расходов в j-том муниципальном районе (городском округе) по сравнению со средним по Камчатскому краю нормативом, используются поправочные коэффициенты расходных потребностей, рассчитанные на основе нормативов расходных обязательств бюджетов муниципальных районов (городских округов) с учетом расходных обязательств бюджетов поселений, установленных </w:t>
      </w:r>
      <w:hyperlink r:id="rId103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статьей 4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настоящего Закона.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076325" cy="4191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расходных потребностей, рассчитанный на основе нормативов расходных обязательств бюджетов городских округов и муниципальных районов в очередном финансовом году, по i-тому виду расходов в j-том муниципальном районе;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норматив расходных обязательств в очередном финансовом году по i-тому виду расходов в j-том муниципальном районе (городском округе) в соответствии со </w:t>
      </w:r>
      <w:hyperlink r:id="rId107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статьей 4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настоящего Закона;</w:t>
      </w:r>
    </w:p>
    <w:p w:rsidR="00C93F36" w:rsidRDefault="00C93F36" w:rsidP="00C3050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норматив расходных обязательств в очередном финансовом году по i-тому виду расходов в Камчатском крае.</w:t>
      </w:r>
    </w:p>
    <w:p w:rsidR="00C30508" w:rsidRDefault="00C30508" w:rsidP="00C30508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30508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lastRenderedPageBreak/>
        <w:t>III. Распределение дотаций на выравнивание бюджетной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обеспеченности муниципальных районов (городских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Дотации на выравнивание бюджетной обеспеченности муниципальных районов (городских округов) распределяются между муниципальными образованиями, уровень расчетной бюджетной обеспеченности которых не превышает уровень (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БОмах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>), установленный в качестве критерия выравнивания расчетной бюджетной обеспеченности муниципальных районов (городских округов).</w:t>
      </w:r>
    </w:p>
    <w:p w:rsidR="00C93F36" w:rsidRPr="00C30508" w:rsidRDefault="00C93F36" w:rsidP="00C30508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Расчет общего размера дотаций на выравнивание бюджетной обеспеченности муниципальных районов (городских округов) в очередном финансовом году производится по следующей формуле: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362075" cy="2286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общий размер дотации j-тому муниципальному району (городскому округу) на выравнивание бюджетной обеспеченности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выравнивание бюджетной обеспеченности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стимулирование достижений наилучших показателей деятельности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1. Расчет размера дотаций на выравнивание бюджетной обеспеченности муниципальных районов (городских округов) в очередном финансовом году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485900" cy="4191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выравнивание бюджетной обеспеченности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85775" cy="2286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дотаций на выравнивание бюджетной обеспеченности муниципальных районов (городских округов)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средств, необходимый для доведения в очередном финансовом году уровня бюджетной обеспеченности j-того муниципального района (городского округа) до уровня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БОмах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, (при условии, что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&gt; 0);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42875" cy="1619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объем средств, необходимый для доведения в очередном финансовом году уровня бюджетной обеспеченности муниципальных районов (городских округов) до уровня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БОмах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Объем средств, необходимый для доведения уровня бюджетной обеспеченности j-того муниципального района (городского округа) до уровня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БОмах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>,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Default="00C93F36" w:rsidP="00C30508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476500" cy="4286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08" w:rsidRDefault="00C30508" w:rsidP="00C30508">
      <w:pPr>
        <w:pStyle w:val="ConsPlusNormal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30508">
      <w:pPr>
        <w:pStyle w:val="ConsPlusNormal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Для муниципальных районов (городских округов), у которых расчетный размер дотации на выравнивание бюджетной обеспеченности муниципальных районов (городских округов) на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очередной финансовый год и первый год планового периода составил меньше размера дотации на выравнивание бюджетной обеспеченности муниципальных районов (городских округов),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за исключением случаев внесения федеральными законами изменений, приводящих к увеличению расходов и (или) снижению доходов краевого бюджета.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2. Расчет размера дотаций бюджетам муниципальных районов (городских округов) на стимулирование достижений наилучших показателей деятельности в очередном финансовом году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857375" cy="4191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стимулирование достижений наилучших показателей деятельности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19100" cy="2286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дотаций бюджетам муниципальных районов (городских округов) на стимулирование достижений наилучших показателей деятельности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повышающий коэффициент дотации бюджету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419100" cy="1905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повышающий коэффициент дотации бюджетам муниципальных районов (городских округов).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Расчет суммарного повышающего коэффициента дотации бюджету j-того муниципального района (городского округа)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162175" cy="2286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повышающий коэффициент дотации бюджету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сокращения кредиторской задолженности бюджета j-того муниципального района (городского округа).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Если значение коэффициента меньше 1, то показатель</w:t>
      </w:r>
      <w:r w:rsidR="00EC6617" w:rsidRPr="00C305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0.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поступлений доходов от местных налогов и доходов от использования имущества в бюджет j-того муниципального района (городского округа).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Если значение коэффициента меньше 1, то показатель</w:t>
      </w:r>
      <w:r w:rsidR="00EC6617" w:rsidRPr="00C305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0.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уровня собираемости, платежей населения за жилищно-коммунальные услуги j-того муниципального района (городского округа).</w:t>
      </w:r>
    </w:p>
    <w:p w:rsid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Если значение коэффициента меньше 1, то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0.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округе).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2) Коэффициент сокращения кредиторской задолженности бюджета j-того муниципального района (городского округа) рассчитывается по формуле: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00200" cy="419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сокращения кредиторской задолженности бюджета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отношение снижения объема кредиторской задолженности бюджета j-того муниципального района (городского округа) с 1 января отчетного финансового года по 1 января текущего финансового года к объему кредиторской задолженности бюджета j-того муниципального района (городского округа) по состоянию на 1 января отчетного финансового года. Если кредиторская задолженность по состоянию на 1 января текущего финансового года и на 1 января отчетного финансового года отсутствовала, значение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100 %;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57175" cy="200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среднее по Камчатскому краю отношение снижения объема кредиторской задолженности бюджетов муниципальных районов (городских округов)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3) Коэффициент увеличения поступлений доходов от местных налогов и доходов от использования имущества в бюджет j-того муниципального района (городского округа)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38300" cy="4191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поступлений доходов от местных налогов и доходов от использования имущества в бюджет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темп роста объема поступлений доходов от местных налогов и доходов от использования имущества в бюджет j-того муниципального района (городского округа) за отчетный финансовый год к объему указанных доходов бюджета j-того муниципального района (городского округа) за финансовый год, предшествующий отчетному финансовому году. Если темп роста объема поступлений доходов от местных налогов и доходов от использования имущества в бюджет j-того муниципального района (городского округа) превышает среднее значение по Камчатскому краю, то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нд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показатель </w:t>
      </w:r>
      <w:proofErr w:type="spellStart"/>
      <w:r w:rsidRPr="00C30508">
        <w:rPr>
          <w:rFonts w:ascii="Times New Roman" w:hAnsi="Times New Roman" w:cs="Times New Roman"/>
          <w:b w:val="0"/>
          <w:sz w:val="24"/>
          <w:szCs w:val="24"/>
        </w:rPr>
        <w:t>Тj</w:t>
      </w:r>
      <w:proofErr w:type="spellEnd"/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среднему значению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76225" cy="1905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темп роста объема поступлений доходов от местных налогов и доходов от использования имущества бюджетов муниципальных районов (городских округов) за отчетный финансовый год к объему указанных доходов бюджетов муниципальных районов (городских округов) за финансовый год, предшествующий отчетному финансовому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4) Коэффициент увеличения уровня собираемости платежей населения за жилищно-коммунальные услуги j-того муниципального района (городского округа) рассчитывается по формуле:</w:t>
      </w:r>
    </w:p>
    <w:p w:rsidR="00C93F36" w:rsidRPr="00C30508" w:rsidRDefault="00C30508" w:rsidP="00C30508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 wp14:anchorId="1AA42281" wp14:editId="25CC7838">
            <wp:extent cx="1790700" cy="4191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уровня собираемости платежей населения за жилищно-коммунальные услуги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9052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темп роста фактического уровня собираемости платежей населения за жилищно-коммунальные услуги j-того муниципального района (городского округа) за отчетный финансовый год к фактическому уровню собираемости платежей населения за жилищно-коммунальные услуги j-того муниципального района (городского округа) за год, предшествующий отчетному финансовому году;</w:t>
      </w:r>
    </w:p>
    <w:p w:rsidR="00C93F36" w:rsidRPr="00EB487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Если темп </w:t>
      </w:r>
      <w:r w:rsidRPr="00EB4876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t xml:space="preserve">роста фактического уровня собираемости платежей населения за жилищно-коммунальные услуги j-того муниципального района (городского округа) превышает среднее значение по Камчатскому краю, то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90525" cy="228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876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t>принимается равным среднему значению по Камчатскому краю.</w:t>
      </w:r>
    </w:p>
    <w:p w:rsidR="00C93F36" w:rsidRPr="00EB4876" w:rsidRDefault="00EB4876" w:rsidP="00EB48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41910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F36" w:rsidRPr="00EB4876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t>- средний по Камчатскому краю темп роста фактического уровня собираемости платежей населения за жилищно-коммунальные услуги муниципальных районов (городских округов) за отчетный финансовый год к фактическому уровню собираемости платежей населения за жилищно-коммунальные услуги муниципальных районов (городских округов) за год, предшествующий отчетному финансовому году.</w:t>
      </w:r>
    </w:p>
    <w:p w:rsidR="00AE596D" w:rsidRPr="00EB4876" w:rsidRDefault="00AE596D" w:rsidP="00EB48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876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t>Если фактический уровень собираемости платежей населения за жилищно</w:t>
      </w:r>
      <w:r w:rsidRPr="00AE596D">
        <w:rPr>
          <w:rFonts w:ascii="Times New Roman" w:hAnsi="Times New Roman" w:cs="Times New Roman"/>
          <w:sz w:val="24"/>
          <w:szCs w:val="24"/>
        </w:rPr>
        <w:t xml:space="preserve">-коммунальные услуги j-того муниципального района (городского округа) за отчетный финансовый год превышает 95 %, то значение коэффициента увеличения уровня собираемости платежей населения за жилищно-коммунальные услуги j-того муниципального района (городского округа) </w:t>
      </w:r>
      <w:r w:rsidR="00EB4876">
        <w:rPr>
          <w:rFonts w:ascii="Times New Roman" w:hAnsi="Times New Roman" w:cs="Times New Roman"/>
          <w:sz w:val="24"/>
          <w:szCs w:val="24"/>
        </w:rPr>
        <w:t>(</w:t>
      </w:r>
      <w:r w:rsidR="00EB4876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23850" cy="238125"/>
            <wp:effectExtent l="0" t="0" r="0" b="9525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876">
        <w:rPr>
          <w:rFonts w:ascii="Times New Roman" w:hAnsi="Times New Roman" w:cs="Times New Roman"/>
          <w:sz w:val="24"/>
          <w:szCs w:val="24"/>
        </w:rPr>
        <w:t xml:space="preserve">) </w:t>
      </w:r>
      <w:r w:rsidRPr="00AE596D">
        <w:rPr>
          <w:rFonts w:ascii="Times New Roman" w:hAnsi="Times New Roman" w:cs="Times New Roman"/>
          <w:sz w:val="24"/>
          <w:szCs w:val="24"/>
        </w:rPr>
        <w:t xml:space="preserve"> принимается равным максимальному значению указанного коэффициента, сложившемуся в отчетном финансовом году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5)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 рассчитывается по формуле:</w:t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09725" cy="4191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 за период с 1 июля отчетного финансового года по 1 июля текущего финансового года.</w:t>
      </w:r>
    </w:p>
    <w:p w:rsidR="00C93F36" w:rsidRPr="00336A0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Если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 превышает среднее значение по Камчатскому краю</w:t>
      </w:r>
      <w:r w:rsidR="008E3A75">
        <w:rPr>
          <w:rFonts w:ascii="Times New Roman" w:hAnsi="Times New Roman" w:cs="Times New Roman"/>
          <w:b w:val="0"/>
          <w:sz w:val="24"/>
          <w:szCs w:val="24"/>
        </w:rPr>
        <w:t xml:space="preserve"> или не доведен</w:t>
      </w:r>
      <w:r w:rsidR="008E3A75" w:rsidRPr="008E3A75">
        <w:rPr>
          <w:rFonts w:ascii="Times New Roman" w:hAnsi="Times New Roman" w:cs="Times New Roman"/>
          <w:b w:val="0"/>
          <w:sz w:val="24"/>
          <w:szCs w:val="24"/>
        </w:rPr>
        <w:t xml:space="preserve"> j-том</w:t>
      </w:r>
      <w:r w:rsidR="008E3A75">
        <w:rPr>
          <w:rFonts w:ascii="Times New Roman" w:hAnsi="Times New Roman" w:cs="Times New Roman"/>
          <w:b w:val="0"/>
          <w:sz w:val="24"/>
          <w:szCs w:val="24"/>
        </w:rPr>
        <w:t>у</w:t>
      </w:r>
      <w:r w:rsidR="008E3A75" w:rsidRPr="008E3A7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муниципальном</w:t>
      </w:r>
      <w:r w:rsidR="008E3A75">
        <w:rPr>
          <w:rFonts w:ascii="Times New Roman" w:hAnsi="Times New Roman" w:cs="Times New Roman"/>
          <w:b w:val="0"/>
          <w:sz w:val="24"/>
          <w:szCs w:val="24"/>
        </w:rPr>
        <w:t>у району</w:t>
      </w:r>
      <w:r w:rsidR="008E3A75" w:rsidRPr="008E3A75">
        <w:rPr>
          <w:rFonts w:ascii="Times New Roman" w:hAnsi="Times New Roman" w:cs="Times New Roman"/>
          <w:b w:val="0"/>
          <w:sz w:val="24"/>
          <w:szCs w:val="24"/>
        </w:rPr>
        <w:t xml:space="preserve"> (городском</w:t>
      </w:r>
      <w:r w:rsidR="008E3A75">
        <w:rPr>
          <w:rFonts w:ascii="Times New Roman" w:hAnsi="Times New Roman" w:cs="Times New Roman"/>
          <w:b w:val="0"/>
          <w:sz w:val="24"/>
          <w:szCs w:val="24"/>
        </w:rPr>
        <w:t>у округу</w:t>
      </w:r>
      <w:r w:rsidR="008E3A75" w:rsidRPr="008E3A75">
        <w:rPr>
          <w:rFonts w:ascii="Times New Roman" w:hAnsi="Times New Roman" w:cs="Times New Roman"/>
          <w:b w:val="0"/>
          <w:sz w:val="24"/>
          <w:szCs w:val="24"/>
        </w:rPr>
        <w:t>)</w:t>
      </w:r>
      <w:r w:rsidRPr="008E3A75">
        <w:rPr>
          <w:rFonts w:ascii="Times New Roman" w:hAnsi="Times New Roman" w:cs="Times New Roman"/>
          <w:b w:val="0"/>
          <w:sz w:val="24"/>
          <w:szCs w:val="24"/>
        </w:rPr>
        <w:t>,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то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среднему </w:t>
      </w:r>
      <w:r w:rsidRPr="00336A06">
        <w:rPr>
          <w:rFonts w:ascii="Times New Roman" w:hAnsi="Times New Roman" w:cs="Times New Roman"/>
          <w:b w:val="0"/>
          <w:sz w:val="24"/>
          <w:szCs w:val="24"/>
        </w:rPr>
        <w:t>значению по Камчатскому краю.</w:t>
      </w:r>
    </w:p>
    <w:p w:rsidR="00C93F36" w:rsidRPr="00336A0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6A06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A06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уровень выполнения контрольного показателя по снижению численности экономически активных лиц, находящихся в трудоспособном возрасте </w:t>
      </w:r>
      <w:r w:rsidRPr="00336A06">
        <w:rPr>
          <w:rFonts w:ascii="Times New Roman" w:hAnsi="Times New Roman" w:cs="Times New Roman"/>
          <w:b w:val="0"/>
          <w:sz w:val="24"/>
          <w:szCs w:val="24"/>
        </w:rPr>
        <w:lastRenderedPageBreak/>
        <w:t>и не осуществляющих трудовую деятельность, за период с 1 июля отчетного финансового года по 1 июля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6A06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смысла.</w:t>
      </w:r>
    </w:p>
    <w:p w:rsidR="00C93F36" w:rsidRDefault="00C93F36"/>
    <w:sectPr w:rsidR="00C93F36" w:rsidSect="00C30508">
      <w:pgSz w:w="11906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508" w:rsidRDefault="00C30508" w:rsidP="00C30508">
      <w:pPr>
        <w:spacing w:after="0" w:line="240" w:lineRule="auto"/>
      </w:pPr>
      <w:r>
        <w:separator/>
      </w:r>
    </w:p>
  </w:endnote>
  <w:endnote w:type="continuationSeparator" w:id="0">
    <w:p w:rsidR="00C30508" w:rsidRDefault="00C30508" w:rsidP="00C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508" w:rsidRDefault="00C30508">
    <w:pPr>
      <w:pStyle w:val="a7"/>
    </w:pPr>
  </w:p>
  <w:p w:rsidR="00C30508" w:rsidRDefault="00C305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508" w:rsidRDefault="00C30508" w:rsidP="00C30508">
      <w:pPr>
        <w:spacing w:after="0" w:line="240" w:lineRule="auto"/>
      </w:pPr>
      <w:r>
        <w:separator/>
      </w:r>
    </w:p>
  </w:footnote>
  <w:footnote w:type="continuationSeparator" w:id="0">
    <w:p w:rsidR="00C30508" w:rsidRDefault="00C30508" w:rsidP="00C30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44" o:spid="_x0000_i1026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Рисунок 46" o:spid="_x0000_i1027" type="#_x0000_t75" style="width:21.75pt;height:14.25pt;visibility:visible;mso-wrap-style:square" o:bullet="t">
        <v:imagedata r:id="rId2" o:title=""/>
      </v:shape>
    </w:pict>
  </w:numPicBullet>
  <w:numPicBullet w:numPicBulletId="2">
    <w:pict>
      <v:shape id="Рисунок 7" o:spid="_x0000_i1028" type="#_x0000_t75" style="width:27.75pt;height:15pt;visibility:visible;mso-wrap-style:square" o:bullet="t">
        <v:imagedata r:id="rId3" o:title=""/>
      </v:shape>
    </w:pict>
  </w:numPicBullet>
  <w:abstractNum w:abstractNumId="0" w15:restartNumberingAfterBreak="0">
    <w:nsid w:val="255D2503"/>
    <w:multiLevelType w:val="hybridMultilevel"/>
    <w:tmpl w:val="1B6A03AC"/>
    <w:lvl w:ilvl="0" w:tplc="5FEA167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C427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C0F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B8D0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62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B65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8478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A6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26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C3C0486"/>
    <w:multiLevelType w:val="hybridMultilevel"/>
    <w:tmpl w:val="58A0456E"/>
    <w:lvl w:ilvl="0" w:tplc="01E878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42D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C5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DA5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84C1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1CA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B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89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0A8A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36"/>
    <w:rsid w:val="00044060"/>
    <w:rsid w:val="00073A69"/>
    <w:rsid w:val="000B5269"/>
    <w:rsid w:val="000E35C1"/>
    <w:rsid w:val="0012402F"/>
    <w:rsid w:val="00242816"/>
    <w:rsid w:val="0025053C"/>
    <w:rsid w:val="00304746"/>
    <w:rsid w:val="00336A06"/>
    <w:rsid w:val="00440293"/>
    <w:rsid w:val="00477077"/>
    <w:rsid w:val="00571B67"/>
    <w:rsid w:val="00594C9B"/>
    <w:rsid w:val="005F0058"/>
    <w:rsid w:val="0067074F"/>
    <w:rsid w:val="006B079A"/>
    <w:rsid w:val="0074561D"/>
    <w:rsid w:val="0078187D"/>
    <w:rsid w:val="0089502C"/>
    <w:rsid w:val="008E3A75"/>
    <w:rsid w:val="008F7AB6"/>
    <w:rsid w:val="00913282"/>
    <w:rsid w:val="00951DD9"/>
    <w:rsid w:val="00964532"/>
    <w:rsid w:val="00972E6C"/>
    <w:rsid w:val="0098083D"/>
    <w:rsid w:val="00A23EAB"/>
    <w:rsid w:val="00AE596D"/>
    <w:rsid w:val="00BF3FB2"/>
    <w:rsid w:val="00C30508"/>
    <w:rsid w:val="00C92F3C"/>
    <w:rsid w:val="00C93F36"/>
    <w:rsid w:val="00D01ECA"/>
    <w:rsid w:val="00D66960"/>
    <w:rsid w:val="00EB4876"/>
    <w:rsid w:val="00EC6617"/>
    <w:rsid w:val="00ED027E"/>
    <w:rsid w:val="00F2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4CDB821C-F48E-4302-86DA-B22BE2BC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F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7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74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508"/>
  </w:style>
  <w:style w:type="paragraph" w:styleId="a7">
    <w:name w:val="footer"/>
    <w:basedOn w:val="a"/>
    <w:link w:val="a8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wmf"/><Relationship Id="rId21" Type="http://schemas.openxmlformats.org/officeDocument/2006/relationships/image" Target="media/image17.wmf"/><Relationship Id="rId42" Type="http://schemas.openxmlformats.org/officeDocument/2006/relationships/image" Target="media/image38.wmf"/><Relationship Id="rId63" Type="http://schemas.openxmlformats.org/officeDocument/2006/relationships/image" Target="media/image58.wmf"/><Relationship Id="rId84" Type="http://schemas.openxmlformats.org/officeDocument/2006/relationships/image" Target="media/image79.wmf"/><Relationship Id="rId138" Type="http://schemas.openxmlformats.org/officeDocument/2006/relationships/image" Target="media/image131.wmf"/><Relationship Id="rId107" Type="http://schemas.openxmlformats.org/officeDocument/2006/relationships/hyperlink" Target="consultantplus://offline/ref=B6D81200AAB6306930285E0E7F30341E4B3AF30075D1A33D27694BEB856CDFA1A110D0F8FE4F7F698EA7604AM4t1V" TargetMode="External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53" Type="http://schemas.openxmlformats.org/officeDocument/2006/relationships/image" Target="media/image48.wmf"/><Relationship Id="rId74" Type="http://schemas.openxmlformats.org/officeDocument/2006/relationships/image" Target="media/image69.wmf"/><Relationship Id="rId128" Type="http://schemas.openxmlformats.org/officeDocument/2006/relationships/image" Target="media/image121.wmf"/><Relationship Id="rId5" Type="http://schemas.openxmlformats.org/officeDocument/2006/relationships/footnotes" Target="footnotes.xml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image" Target="media/image106.wmf"/><Relationship Id="rId118" Type="http://schemas.openxmlformats.org/officeDocument/2006/relationships/image" Target="media/image111.wmf"/><Relationship Id="rId134" Type="http://schemas.openxmlformats.org/officeDocument/2006/relationships/image" Target="media/image127.wmf"/><Relationship Id="rId139" Type="http://schemas.openxmlformats.org/officeDocument/2006/relationships/image" Target="media/image132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59" Type="http://schemas.openxmlformats.org/officeDocument/2006/relationships/image" Target="media/image54.wmf"/><Relationship Id="rId103" Type="http://schemas.openxmlformats.org/officeDocument/2006/relationships/hyperlink" Target="consultantplus://offline/ref=B6D81200AAB6306930285E0E7F30341E4B3AF30075D1A33D27694BEB856CDFA1A110D0F8FE4F7F698EA7604AM4t1V" TargetMode="External"/><Relationship Id="rId108" Type="http://schemas.openxmlformats.org/officeDocument/2006/relationships/image" Target="media/image101.wmf"/><Relationship Id="rId124" Type="http://schemas.openxmlformats.org/officeDocument/2006/relationships/image" Target="media/image117.wmf"/><Relationship Id="rId129" Type="http://schemas.openxmlformats.org/officeDocument/2006/relationships/image" Target="media/image122.wmf"/><Relationship Id="rId54" Type="http://schemas.openxmlformats.org/officeDocument/2006/relationships/image" Target="media/image49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40" Type="http://schemas.openxmlformats.org/officeDocument/2006/relationships/image" Target="media/image133.wmf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49" Type="http://schemas.openxmlformats.org/officeDocument/2006/relationships/footer" Target="footer1.xml"/><Relationship Id="rId114" Type="http://schemas.openxmlformats.org/officeDocument/2006/relationships/image" Target="media/image107.wmf"/><Relationship Id="rId119" Type="http://schemas.openxmlformats.org/officeDocument/2006/relationships/image" Target="media/image112.wmf"/><Relationship Id="rId44" Type="http://schemas.openxmlformats.org/officeDocument/2006/relationships/image" Target="media/image40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130" Type="http://schemas.openxmlformats.org/officeDocument/2006/relationships/image" Target="media/image123.wmf"/><Relationship Id="rId135" Type="http://schemas.openxmlformats.org/officeDocument/2006/relationships/image" Target="media/image128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9" Type="http://schemas.openxmlformats.org/officeDocument/2006/relationships/image" Target="media/image35.wmf"/><Relationship Id="rId109" Type="http://schemas.openxmlformats.org/officeDocument/2006/relationships/image" Target="media/image102.wmf"/><Relationship Id="rId34" Type="http://schemas.openxmlformats.org/officeDocument/2006/relationships/image" Target="media/image30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8.wmf"/><Relationship Id="rId120" Type="http://schemas.openxmlformats.org/officeDocument/2006/relationships/image" Target="media/image113.wmf"/><Relationship Id="rId125" Type="http://schemas.openxmlformats.org/officeDocument/2006/relationships/image" Target="media/image118.wmf"/><Relationship Id="rId141" Type="http://schemas.openxmlformats.org/officeDocument/2006/relationships/image" Target="media/image134.wmf"/><Relationship Id="rId146" Type="http://schemas.openxmlformats.org/officeDocument/2006/relationships/theme" Target="theme/theme1.xml"/><Relationship Id="rId7" Type="http://schemas.openxmlformats.org/officeDocument/2006/relationships/image" Target="media/image4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4" Type="http://schemas.openxmlformats.org/officeDocument/2006/relationships/image" Target="media/image20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image" Target="media/image124.wmf"/><Relationship Id="rId136" Type="http://schemas.openxmlformats.org/officeDocument/2006/relationships/image" Target="media/image129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9" Type="http://schemas.openxmlformats.org/officeDocument/2006/relationships/image" Target="media/image15.wmf"/><Relationship Id="rId14" Type="http://schemas.openxmlformats.org/officeDocument/2006/relationships/image" Target="media/image10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99.wmf"/><Relationship Id="rId126" Type="http://schemas.openxmlformats.org/officeDocument/2006/relationships/image" Target="media/image119.wmf"/><Relationship Id="rId8" Type="http://schemas.openxmlformats.org/officeDocument/2006/relationships/image" Target="media/image5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121" Type="http://schemas.openxmlformats.org/officeDocument/2006/relationships/image" Target="media/image114.wmf"/><Relationship Id="rId142" Type="http://schemas.openxmlformats.org/officeDocument/2006/relationships/image" Target="media/image135.wmf"/><Relationship Id="rId3" Type="http://schemas.openxmlformats.org/officeDocument/2006/relationships/settings" Target="settings.xml"/><Relationship Id="rId25" Type="http://schemas.openxmlformats.org/officeDocument/2006/relationships/image" Target="media/image21.wmf"/><Relationship Id="rId46" Type="http://schemas.openxmlformats.org/officeDocument/2006/relationships/image" Target="media/image42.wmf"/><Relationship Id="rId67" Type="http://schemas.openxmlformats.org/officeDocument/2006/relationships/image" Target="media/image62.wmf"/><Relationship Id="rId116" Type="http://schemas.openxmlformats.org/officeDocument/2006/relationships/image" Target="media/image109.wmf"/><Relationship Id="rId137" Type="http://schemas.openxmlformats.org/officeDocument/2006/relationships/image" Target="media/image130.wmf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111" Type="http://schemas.openxmlformats.org/officeDocument/2006/relationships/image" Target="media/image104.wmf"/><Relationship Id="rId132" Type="http://schemas.openxmlformats.org/officeDocument/2006/relationships/image" Target="media/image125.wmf"/><Relationship Id="rId15" Type="http://schemas.openxmlformats.org/officeDocument/2006/relationships/image" Target="media/image11.wmf"/><Relationship Id="rId36" Type="http://schemas.openxmlformats.org/officeDocument/2006/relationships/image" Target="media/image32.wmf"/><Relationship Id="rId57" Type="http://schemas.openxmlformats.org/officeDocument/2006/relationships/image" Target="media/image52.wmf"/><Relationship Id="rId106" Type="http://schemas.openxmlformats.org/officeDocument/2006/relationships/image" Target="media/image100.wmf"/><Relationship Id="rId127" Type="http://schemas.openxmlformats.org/officeDocument/2006/relationships/image" Target="media/image120.wmf"/><Relationship Id="rId10" Type="http://schemas.openxmlformats.org/officeDocument/2006/relationships/image" Target="media/image1.wmf"/><Relationship Id="rId31" Type="http://schemas.openxmlformats.org/officeDocument/2006/relationships/image" Target="media/image27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image" Target="media/image115.wmf"/><Relationship Id="rId143" Type="http://schemas.openxmlformats.org/officeDocument/2006/relationships/image" Target="media/image136.wm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26" Type="http://schemas.openxmlformats.org/officeDocument/2006/relationships/image" Target="media/image22.wmf"/><Relationship Id="rId47" Type="http://schemas.openxmlformats.org/officeDocument/2006/relationships/image" Target="media/image43.wmf"/><Relationship Id="rId68" Type="http://schemas.openxmlformats.org/officeDocument/2006/relationships/image" Target="media/image63.wmf"/><Relationship Id="rId89" Type="http://schemas.openxmlformats.org/officeDocument/2006/relationships/image" Target="media/image84.wmf"/><Relationship Id="rId112" Type="http://schemas.openxmlformats.org/officeDocument/2006/relationships/image" Target="media/image105.wmf"/><Relationship Id="rId133" Type="http://schemas.openxmlformats.org/officeDocument/2006/relationships/image" Target="media/image126.wmf"/><Relationship Id="rId16" Type="http://schemas.openxmlformats.org/officeDocument/2006/relationships/image" Target="media/image12.wmf"/><Relationship Id="rId37" Type="http://schemas.openxmlformats.org/officeDocument/2006/relationships/image" Target="media/image33.wmf"/><Relationship Id="rId58" Type="http://schemas.openxmlformats.org/officeDocument/2006/relationships/image" Target="media/image53.wmf"/><Relationship Id="rId79" Type="http://schemas.openxmlformats.org/officeDocument/2006/relationships/image" Target="media/image74.wmf"/><Relationship Id="rId102" Type="http://schemas.openxmlformats.org/officeDocument/2006/relationships/image" Target="media/image97.wmf"/><Relationship Id="rId123" Type="http://schemas.openxmlformats.org/officeDocument/2006/relationships/image" Target="media/image116.wmf"/><Relationship Id="rId144" Type="http://schemas.openxmlformats.org/officeDocument/2006/relationships/image" Target="media/image137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21</Pages>
  <Words>7608</Words>
  <Characters>43371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Гросфельд Юлия Владимировна</dc:creator>
  <cp:keywords/>
  <dc:description/>
  <cp:lastModifiedBy>Гросфельд Юлия Владимировна</cp:lastModifiedBy>
  <cp:revision>39</cp:revision>
  <cp:lastPrinted>2017-10-24T01:22:00Z</cp:lastPrinted>
  <dcterms:created xsi:type="dcterms:W3CDTF">2016-10-06T21:36:00Z</dcterms:created>
  <dcterms:modified xsi:type="dcterms:W3CDTF">2017-10-25T02:23:00Z</dcterms:modified>
</cp:coreProperties>
</file>